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75" w:rsidRDefault="00840775" w:rsidP="00840775">
      <w:pPr>
        <w:spacing w:after="0" w:line="240" w:lineRule="auto"/>
        <w:jc w:val="both"/>
        <w:rPr>
          <w:rFonts w:ascii="Times New Roman" w:hAnsi="Times New Roman"/>
          <w:sz w:val="24"/>
          <w:szCs w:val="24"/>
          <w:lang w:val="ro-RO"/>
        </w:rPr>
      </w:pPr>
    </w:p>
    <w:p w:rsidR="00840775" w:rsidRDefault="00840775" w:rsidP="00840775">
      <w:pPr>
        <w:spacing w:after="0" w:line="240" w:lineRule="auto"/>
        <w:jc w:val="both"/>
        <w:rPr>
          <w:rFonts w:ascii="Times New Roman" w:hAnsi="Times New Roman"/>
          <w:sz w:val="24"/>
          <w:szCs w:val="24"/>
          <w:lang w:val="ro-RO"/>
        </w:rPr>
      </w:pPr>
    </w:p>
    <w:p w:rsidR="00840775" w:rsidRDefault="00840775" w:rsidP="00840775">
      <w:pPr>
        <w:spacing w:after="0" w:line="240" w:lineRule="auto"/>
        <w:jc w:val="both"/>
        <w:rPr>
          <w:rFonts w:ascii="Times New Roman" w:hAnsi="Times New Roman"/>
          <w:sz w:val="24"/>
          <w:szCs w:val="24"/>
          <w:lang w:val="ro-RO"/>
        </w:rPr>
      </w:pPr>
      <w:r w:rsidRPr="00840775">
        <w:rPr>
          <w:rFonts w:ascii="Times New Roman" w:hAnsi="Times New Roman"/>
          <w:sz w:val="24"/>
          <w:szCs w:val="24"/>
          <w:lang w:val="ro-RO"/>
        </w:rPr>
        <w:t>În conformitate cu regulile programului Erasmus+,</w:t>
      </w:r>
      <w:r w:rsidRPr="00840775">
        <w:rPr>
          <w:rFonts w:ascii="Times New Roman" w:hAnsi="Times New Roman"/>
          <w:b/>
          <w:bCs/>
          <w:sz w:val="24"/>
          <w:szCs w:val="24"/>
          <w:lang w:val="ro-RO" w:eastAsia="ro-RO"/>
        </w:rPr>
        <w:t xml:space="preserve"> </w:t>
      </w:r>
      <w:r w:rsidRPr="00840775">
        <w:rPr>
          <w:rFonts w:ascii="Times New Roman" w:hAnsi="Times New Roman"/>
          <w:bCs/>
          <w:sz w:val="24"/>
          <w:szCs w:val="24"/>
          <w:lang w:val="ro-RO"/>
        </w:rPr>
        <w:t>pentru studenții care efectuează o mobilitate de studiu, granturile lunare sunt fixate în funcție de țara de destinație astfel:</w:t>
      </w:r>
      <w:r w:rsidRPr="00840775">
        <w:rPr>
          <w:rFonts w:ascii="Times New Roman" w:hAnsi="Times New Roman"/>
          <w:sz w:val="24"/>
          <w:szCs w:val="24"/>
          <w:lang w:val="ro-RO"/>
        </w:rPr>
        <w:tab/>
        <w:t xml:space="preserve"> </w:t>
      </w:r>
    </w:p>
    <w:p w:rsidR="00840775" w:rsidRPr="00840775" w:rsidRDefault="00840775" w:rsidP="00840775">
      <w:pPr>
        <w:spacing w:after="0" w:line="240" w:lineRule="auto"/>
        <w:jc w:val="both"/>
        <w:rPr>
          <w:rFonts w:ascii="Times New Roman" w:hAnsi="Times New Roman"/>
          <w:sz w:val="24"/>
          <w:szCs w:val="24"/>
          <w:lang w:val="ro-RO"/>
        </w:rPr>
      </w:pPr>
      <w:r w:rsidRPr="00840775">
        <w:rPr>
          <w:rFonts w:ascii="Times New Roman" w:hAnsi="Times New Roman"/>
          <w:sz w:val="24"/>
          <w:szCs w:val="24"/>
          <w:lang w:val="ro-RO"/>
        </w:rPr>
        <w:t xml:space="preserve"> </w:t>
      </w:r>
    </w:p>
    <w:tbl>
      <w:tblPr>
        <w:tblW w:w="9388"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151"/>
        <w:gridCol w:w="3402"/>
        <w:gridCol w:w="2835"/>
        <w:gridCol w:w="2000"/>
      </w:tblGrid>
      <w:tr w:rsidR="00840775" w:rsidRPr="008B3E3A" w:rsidTr="00A56307">
        <w:tblPrEx>
          <w:tblCellMar>
            <w:top w:w="0" w:type="dxa"/>
            <w:bottom w:w="0" w:type="dxa"/>
          </w:tblCellMar>
        </w:tblPrEx>
        <w:trPr>
          <w:trHeight w:val="582"/>
          <w:jc w:val="center"/>
        </w:trPr>
        <w:tc>
          <w:tcPr>
            <w:tcW w:w="1151" w:type="dxa"/>
            <w:tcBorders>
              <w:top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after="0" w:line="240" w:lineRule="auto"/>
              <w:jc w:val="center"/>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Grupul</w:t>
            </w:r>
          </w:p>
        </w:tc>
        <w:tc>
          <w:tcPr>
            <w:tcW w:w="3402" w:type="dxa"/>
            <w:tcBorders>
              <w:top w:val="single" w:sz="8" w:space="0" w:color="000000"/>
              <w:left w:val="single" w:sz="8" w:space="0" w:color="000000"/>
              <w:bottom w:val="single" w:sz="8" w:space="0" w:color="000000"/>
              <w:right w:val="single" w:sz="8" w:space="0" w:color="000000"/>
            </w:tcBorders>
            <w:vAlign w:val="center"/>
          </w:tcPr>
          <w:p w:rsidR="00840775" w:rsidRPr="007C0C9D" w:rsidRDefault="00840775" w:rsidP="00A56307">
            <w:pPr>
              <w:autoSpaceDE w:val="0"/>
              <w:autoSpaceDN w:val="0"/>
              <w:adjustRightInd w:val="0"/>
              <w:spacing w:line="240" w:lineRule="auto"/>
              <w:jc w:val="center"/>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Ţară de destinaţie</w:t>
            </w:r>
          </w:p>
        </w:tc>
        <w:tc>
          <w:tcPr>
            <w:tcW w:w="2835" w:type="dxa"/>
            <w:tcBorders>
              <w:top w:val="single" w:sz="8" w:space="0" w:color="000000"/>
              <w:left w:val="single" w:sz="8" w:space="0" w:color="000000"/>
              <w:bottom w:val="single" w:sz="8" w:space="0" w:color="000000"/>
            </w:tcBorders>
          </w:tcPr>
          <w:p w:rsidR="00840775" w:rsidRPr="008B3E3A" w:rsidRDefault="00840775" w:rsidP="00A56307">
            <w:pPr>
              <w:spacing w:after="0" w:line="240" w:lineRule="auto"/>
              <w:jc w:val="center"/>
              <w:rPr>
                <w:rFonts w:ascii="Times New Roman" w:hAnsi="Times New Roman"/>
                <w:b/>
                <w:bCs/>
                <w:color w:val="000000"/>
                <w:sz w:val="24"/>
                <w:szCs w:val="24"/>
                <w:lang w:val="ro-RO" w:eastAsia="ro-RO"/>
              </w:rPr>
            </w:pPr>
            <w:r w:rsidRPr="008B3E3A">
              <w:rPr>
                <w:rFonts w:ascii="Times New Roman" w:hAnsi="Times New Roman"/>
                <w:b/>
                <w:bCs/>
                <w:color w:val="000000"/>
                <w:sz w:val="24"/>
                <w:szCs w:val="24"/>
                <w:lang w:val="ro-RO" w:eastAsia="ro-RO"/>
              </w:rPr>
              <w:t>Nivelul national fixat al grantului (€/luna) / STUDIU</w:t>
            </w:r>
          </w:p>
        </w:tc>
        <w:tc>
          <w:tcPr>
            <w:tcW w:w="2000" w:type="dxa"/>
            <w:tcBorders>
              <w:top w:val="single" w:sz="8" w:space="0" w:color="000000"/>
              <w:left w:val="single" w:sz="8" w:space="0" w:color="000000"/>
              <w:bottom w:val="single" w:sz="8" w:space="0" w:color="000000"/>
            </w:tcBorders>
          </w:tcPr>
          <w:p w:rsidR="00840775" w:rsidRPr="008B3E3A" w:rsidRDefault="00840775" w:rsidP="00A56307">
            <w:pPr>
              <w:spacing w:after="0" w:line="240" w:lineRule="auto"/>
              <w:jc w:val="center"/>
              <w:rPr>
                <w:rFonts w:ascii="Times New Roman" w:hAnsi="Times New Roman"/>
                <w:b/>
                <w:bCs/>
                <w:color w:val="000000"/>
                <w:sz w:val="24"/>
                <w:szCs w:val="24"/>
                <w:lang w:val="ro-RO" w:eastAsia="ro-RO"/>
              </w:rPr>
            </w:pPr>
            <w:r w:rsidRPr="008B3E3A">
              <w:rPr>
                <w:rFonts w:ascii="Times New Roman" w:hAnsi="Times New Roman"/>
                <w:b/>
                <w:bCs/>
                <w:color w:val="000000"/>
                <w:sz w:val="24"/>
                <w:szCs w:val="24"/>
                <w:lang w:val="ro-RO" w:eastAsia="ro-RO"/>
              </w:rPr>
              <w:t>Nivelul national fixat al grantului (€/luna) / PLASAMENT</w:t>
            </w:r>
          </w:p>
        </w:tc>
      </w:tr>
      <w:tr w:rsidR="00840775" w:rsidRPr="008B3E3A" w:rsidTr="00A56307">
        <w:tblPrEx>
          <w:tblCellMar>
            <w:top w:w="0" w:type="dxa"/>
            <w:bottom w:w="0" w:type="dxa"/>
          </w:tblCellMar>
        </w:tblPrEx>
        <w:trPr>
          <w:trHeight w:val="1150"/>
          <w:jc w:val="center"/>
        </w:trPr>
        <w:tc>
          <w:tcPr>
            <w:tcW w:w="1151" w:type="dxa"/>
            <w:tcBorders>
              <w:top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after="0"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Grupul 1 de țări</w:t>
            </w:r>
          </w:p>
        </w:tc>
        <w:tc>
          <w:tcPr>
            <w:tcW w:w="3402" w:type="dxa"/>
            <w:tcBorders>
              <w:top w:val="single" w:sz="8" w:space="0" w:color="000000"/>
              <w:left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line="240" w:lineRule="auto"/>
              <w:rPr>
                <w:rFonts w:ascii="Times New Roman" w:hAnsi="Times New Roman"/>
                <w:b/>
                <w:bCs/>
                <w:color w:val="000000"/>
                <w:sz w:val="24"/>
                <w:szCs w:val="24"/>
                <w:lang w:val="ro-RO" w:eastAsia="ro-RO"/>
              </w:rPr>
            </w:pPr>
            <w:r w:rsidRPr="008B3E3A">
              <w:rPr>
                <w:rFonts w:ascii="Times New Roman" w:hAnsi="Times New Roman"/>
                <w:b/>
                <w:bCs/>
                <w:color w:val="000000"/>
                <w:sz w:val="24"/>
                <w:szCs w:val="24"/>
                <w:lang w:val="ro-RO" w:eastAsia="ro-RO"/>
              </w:rPr>
              <w:t xml:space="preserve">Austria, Danemarca, Finlanda, Franța, Irlanda, Italia, Lichtenstein, Norvegia, Suedia, Marea Britanie. </w:t>
            </w:r>
          </w:p>
        </w:tc>
        <w:tc>
          <w:tcPr>
            <w:tcW w:w="2835"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500 euro</w:t>
            </w:r>
          </w:p>
        </w:tc>
        <w:tc>
          <w:tcPr>
            <w:tcW w:w="2000"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700 euro</w:t>
            </w:r>
          </w:p>
        </w:tc>
      </w:tr>
      <w:tr w:rsidR="00840775" w:rsidRPr="008B3E3A" w:rsidTr="00A56307">
        <w:tblPrEx>
          <w:tblCellMar>
            <w:top w:w="0" w:type="dxa"/>
            <w:bottom w:w="0" w:type="dxa"/>
          </w:tblCellMar>
        </w:tblPrEx>
        <w:trPr>
          <w:trHeight w:val="1433"/>
          <w:jc w:val="center"/>
        </w:trPr>
        <w:tc>
          <w:tcPr>
            <w:tcW w:w="1151" w:type="dxa"/>
            <w:tcBorders>
              <w:top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after="0"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Grupul 2 de țări</w:t>
            </w:r>
          </w:p>
        </w:tc>
        <w:tc>
          <w:tcPr>
            <w:tcW w:w="3402" w:type="dxa"/>
            <w:tcBorders>
              <w:top w:val="single" w:sz="8" w:space="0" w:color="000000"/>
              <w:left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line="240" w:lineRule="auto"/>
              <w:rPr>
                <w:rFonts w:ascii="Times New Roman" w:hAnsi="Times New Roman"/>
                <w:b/>
                <w:bCs/>
                <w:color w:val="000000"/>
                <w:sz w:val="24"/>
                <w:szCs w:val="24"/>
                <w:lang w:val="ro-RO" w:eastAsia="ro-RO"/>
              </w:rPr>
            </w:pPr>
            <w:r w:rsidRPr="008B3E3A">
              <w:rPr>
                <w:rFonts w:ascii="Times New Roman" w:hAnsi="Times New Roman"/>
                <w:b/>
                <w:bCs/>
                <w:color w:val="000000"/>
                <w:sz w:val="24"/>
                <w:szCs w:val="24"/>
                <w:lang w:val="ro-RO" w:eastAsia="ro-RO"/>
              </w:rPr>
              <w:t>Belgia, Croatia , Republica Cehă, Cipru, Germania, Grecia, Islanda, Luxemburg, Olanda, Portugalia, Slovenia, Spania, Turcia.</w:t>
            </w:r>
          </w:p>
        </w:tc>
        <w:tc>
          <w:tcPr>
            <w:tcW w:w="2835"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500 euro</w:t>
            </w:r>
          </w:p>
        </w:tc>
        <w:tc>
          <w:tcPr>
            <w:tcW w:w="2000"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700 euro</w:t>
            </w:r>
          </w:p>
        </w:tc>
      </w:tr>
      <w:tr w:rsidR="00840775" w:rsidRPr="008B3E3A" w:rsidTr="00A56307">
        <w:tblPrEx>
          <w:tblCellMar>
            <w:top w:w="0" w:type="dxa"/>
            <w:bottom w:w="0" w:type="dxa"/>
          </w:tblCellMar>
        </w:tblPrEx>
        <w:trPr>
          <w:trHeight w:val="582"/>
          <w:jc w:val="center"/>
        </w:trPr>
        <w:tc>
          <w:tcPr>
            <w:tcW w:w="1151" w:type="dxa"/>
            <w:tcBorders>
              <w:top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after="0"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Grupul 3 de țări</w:t>
            </w:r>
          </w:p>
        </w:tc>
        <w:tc>
          <w:tcPr>
            <w:tcW w:w="3402" w:type="dxa"/>
            <w:tcBorders>
              <w:top w:val="single" w:sz="8" w:space="0" w:color="000000"/>
              <w:left w:val="single" w:sz="8" w:space="0" w:color="000000"/>
              <w:bottom w:val="single" w:sz="8" w:space="0" w:color="000000"/>
              <w:right w:val="single" w:sz="8" w:space="0" w:color="000000"/>
            </w:tcBorders>
            <w:vAlign w:val="center"/>
          </w:tcPr>
          <w:p w:rsidR="00840775" w:rsidRPr="008B3E3A" w:rsidRDefault="00840775" w:rsidP="00A56307">
            <w:pPr>
              <w:autoSpaceDE w:val="0"/>
              <w:autoSpaceDN w:val="0"/>
              <w:adjustRightInd w:val="0"/>
              <w:spacing w:line="240" w:lineRule="auto"/>
              <w:rPr>
                <w:rFonts w:ascii="Times New Roman" w:hAnsi="Times New Roman"/>
                <w:b/>
                <w:bCs/>
                <w:color w:val="000000"/>
                <w:sz w:val="24"/>
                <w:szCs w:val="24"/>
                <w:lang w:val="ro-RO" w:eastAsia="ro-RO"/>
              </w:rPr>
            </w:pPr>
            <w:r w:rsidRPr="008B3E3A">
              <w:rPr>
                <w:rFonts w:ascii="Times New Roman" w:hAnsi="Times New Roman"/>
                <w:b/>
                <w:bCs/>
                <w:color w:val="000000"/>
                <w:sz w:val="24"/>
                <w:szCs w:val="24"/>
                <w:lang w:val="ro-RO" w:eastAsia="ro-RO"/>
              </w:rPr>
              <w:t>Bulgaria, Estonia, Ungaria, Letonia, Lituania, Malta, Polonia, România, Slovacia, Macedonia</w:t>
            </w:r>
          </w:p>
        </w:tc>
        <w:tc>
          <w:tcPr>
            <w:tcW w:w="2835"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450 euro</w:t>
            </w:r>
          </w:p>
        </w:tc>
        <w:tc>
          <w:tcPr>
            <w:tcW w:w="2000" w:type="dxa"/>
            <w:tcBorders>
              <w:top w:val="single" w:sz="8" w:space="0" w:color="000000"/>
              <w:left w:val="single" w:sz="8" w:space="0" w:color="000000"/>
              <w:bottom w:val="single" w:sz="8" w:space="0" w:color="000000"/>
            </w:tcBorders>
            <w:vAlign w:val="center"/>
          </w:tcPr>
          <w:p w:rsidR="00840775" w:rsidRPr="008B3E3A" w:rsidRDefault="00840775" w:rsidP="00A56307">
            <w:pPr>
              <w:autoSpaceDE w:val="0"/>
              <w:autoSpaceDN w:val="0"/>
              <w:adjustRightInd w:val="0"/>
              <w:spacing w:line="240" w:lineRule="auto"/>
              <w:jc w:val="center"/>
              <w:rPr>
                <w:rFonts w:ascii="Times New Roman" w:hAnsi="Times New Roman"/>
                <w:color w:val="000000"/>
                <w:sz w:val="24"/>
                <w:szCs w:val="24"/>
                <w:lang w:val="ro-RO" w:eastAsia="ro-RO"/>
              </w:rPr>
            </w:pPr>
            <w:r w:rsidRPr="008B3E3A">
              <w:rPr>
                <w:rFonts w:ascii="Times New Roman" w:hAnsi="Times New Roman"/>
                <w:b/>
                <w:bCs/>
                <w:color w:val="000000"/>
                <w:sz w:val="24"/>
                <w:szCs w:val="24"/>
                <w:lang w:val="ro-RO" w:eastAsia="ro-RO"/>
              </w:rPr>
              <w:t>650 euro</w:t>
            </w:r>
          </w:p>
        </w:tc>
      </w:tr>
    </w:tbl>
    <w:p w:rsidR="00840775" w:rsidRPr="008B3E3A" w:rsidRDefault="00840775" w:rsidP="00840775">
      <w:pPr>
        <w:spacing w:after="0" w:line="240" w:lineRule="auto"/>
        <w:ind w:firstLine="720"/>
        <w:jc w:val="both"/>
        <w:rPr>
          <w:rFonts w:ascii="Times New Roman" w:hAnsi="Times New Roman"/>
          <w:sz w:val="24"/>
          <w:szCs w:val="24"/>
          <w:lang w:val="ro-RO"/>
        </w:rPr>
      </w:pPr>
      <w:r w:rsidRPr="008B3E3A">
        <w:rPr>
          <w:rFonts w:ascii="Times New Roman" w:hAnsi="Times New Roman"/>
          <w:sz w:val="24"/>
          <w:szCs w:val="24"/>
          <w:lang w:val="ro-RO"/>
        </w:rPr>
        <w:t xml:space="preserve">NOTĂ: </w:t>
      </w:r>
    </w:p>
    <w:p w:rsidR="00840775" w:rsidRPr="008B3E3A" w:rsidRDefault="00840775" w:rsidP="00840775">
      <w:pPr>
        <w:numPr>
          <w:ilvl w:val="0"/>
          <w:numId w:val="2"/>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Pentru studenții cu oportunități reduse (cei care</w:t>
      </w:r>
      <w:r>
        <w:rPr>
          <w:rFonts w:ascii="Times New Roman" w:hAnsi="Times New Roman"/>
          <w:sz w:val="24"/>
          <w:szCs w:val="24"/>
          <w:lang w:val="ro-RO"/>
        </w:rPr>
        <w:t xml:space="preserve"> se încadreză în criteriile de </w:t>
      </w:r>
      <w:r w:rsidRPr="008B3E3A">
        <w:rPr>
          <w:rFonts w:ascii="Times New Roman" w:hAnsi="Times New Roman"/>
          <w:sz w:val="24"/>
          <w:szCs w:val="24"/>
          <w:lang w:val="ro-RO"/>
        </w:rPr>
        <w:t xml:space="preserve"> </w:t>
      </w:r>
      <w:r>
        <w:rPr>
          <w:rFonts w:ascii="Times New Roman" w:hAnsi="Times New Roman"/>
          <w:sz w:val="24"/>
          <w:szCs w:val="24"/>
          <w:lang w:val="ro-RO"/>
        </w:rPr>
        <w:t>pentru obţinerea unei</w:t>
      </w:r>
      <w:r w:rsidRPr="008B3E3A">
        <w:rPr>
          <w:rFonts w:ascii="Times New Roman" w:hAnsi="Times New Roman"/>
          <w:sz w:val="24"/>
          <w:szCs w:val="24"/>
          <w:lang w:val="ro-RO"/>
        </w:rPr>
        <w:t xml:space="preserve"> burs</w:t>
      </w:r>
      <w:r>
        <w:rPr>
          <w:rFonts w:ascii="Times New Roman" w:hAnsi="Times New Roman"/>
          <w:sz w:val="24"/>
          <w:szCs w:val="24"/>
          <w:lang w:val="ro-RO"/>
        </w:rPr>
        <w:t>e</w:t>
      </w:r>
      <w:r w:rsidRPr="008B3E3A">
        <w:rPr>
          <w:rFonts w:ascii="Times New Roman" w:hAnsi="Times New Roman"/>
          <w:sz w:val="24"/>
          <w:szCs w:val="24"/>
          <w:lang w:val="ro-RO"/>
        </w:rPr>
        <w:t xml:space="preserve"> social</w:t>
      </w:r>
      <w:r>
        <w:rPr>
          <w:rFonts w:ascii="Times New Roman" w:hAnsi="Times New Roman"/>
          <w:sz w:val="24"/>
          <w:szCs w:val="24"/>
          <w:lang w:val="ro-RO"/>
        </w:rPr>
        <w:t>e</w:t>
      </w:r>
      <w:r w:rsidRPr="008B3E3A">
        <w:rPr>
          <w:rFonts w:ascii="Times New Roman" w:hAnsi="Times New Roman"/>
          <w:sz w:val="24"/>
          <w:szCs w:val="24"/>
          <w:lang w:val="ro-RO"/>
        </w:rPr>
        <w:t xml:space="preserve">), în cazul ca au fost selectați pentru o mobilitate de studiu Erasmus, la granturile de mai sus se adaugă </w:t>
      </w:r>
      <w:r w:rsidRPr="008B3E3A">
        <w:rPr>
          <w:rFonts w:ascii="Times New Roman" w:hAnsi="Times New Roman"/>
          <w:b/>
          <w:sz w:val="24"/>
          <w:szCs w:val="24"/>
          <w:lang w:val="ro-RO"/>
        </w:rPr>
        <w:t>200 Euro/lună.</w:t>
      </w:r>
      <w:r w:rsidRPr="008B3E3A">
        <w:rPr>
          <w:rFonts w:ascii="Times New Roman" w:hAnsi="Times New Roman"/>
          <w:sz w:val="24"/>
          <w:szCs w:val="24"/>
          <w:lang w:val="ro-RO"/>
        </w:rPr>
        <w:t xml:space="preserve"> </w:t>
      </w:r>
    </w:p>
    <w:p w:rsidR="00840775" w:rsidRDefault="00840775" w:rsidP="00840775">
      <w:pPr>
        <w:numPr>
          <w:ilvl w:val="0"/>
          <w:numId w:val="2"/>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 xml:space="preserve">Pentru studenții care efectuează o mobilitate de plasament nu se mai aplica o alta suplimentare in cazul celor cu oportunități reduse. </w:t>
      </w:r>
    </w:p>
    <w:p w:rsidR="00840775" w:rsidRPr="007C0C9D" w:rsidRDefault="00840775" w:rsidP="00840775">
      <w:pPr>
        <w:numPr>
          <w:ilvl w:val="0"/>
          <w:numId w:val="2"/>
        </w:numPr>
        <w:spacing w:after="0" w:line="240" w:lineRule="auto"/>
        <w:jc w:val="both"/>
        <w:rPr>
          <w:rFonts w:ascii="Times New Roman" w:hAnsi="Times New Roman"/>
          <w:sz w:val="24"/>
          <w:szCs w:val="24"/>
          <w:lang w:val="ro-RO"/>
        </w:rPr>
      </w:pPr>
      <w:r w:rsidRPr="008B3E3A">
        <w:rPr>
          <w:rFonts w:ascii="Times New Roman" w:hAnsi="Times New Roman"/>
          <w:b/>
          <w:sz w:val="24"/>
          <w:szCs w:val="24"/>
          <w:lang w:val="ro-RO"/>
        </w:rPr>
        <w:t>Studenţii cu nevoi special</w:t>
      </w:r>
      <w:r w:rsidRPr="008B3E3A">
        <w:rPr>
          <w:rFonts w:ascii="Times New Roman" w:hAnsi="Times New Roman"/>
          <w:sz w:val="24"/>
          <w:szCs w:val="24"/>
          <w:lang w:val="ro-RO"/>
        </w:rPr>
        <w:t xml:space="preserve">e şi </w:t>
      </w:r>
      <w:r w:rsidRPr="008B3E3A">
        <w:rPr>
          <w:rFonts w:ascii="Times New Roman" w:hAnsi="Times New Roman"/>
          <w:b/>
          <w:sz w:val="24"/>
          <w:szCs w:val="24"/>
          <w:lang w:val="ro-RO"/>
        </w:rPr>
        <w:t>studenţii de etnie rromă</w:t>
      </w:r>
      <w:r w:rsidRPr="008B3E3A">
        <w:rPr>
          <w:rFonts w:ascii="Times New Roman" w:hAnsi="Times New Roman"/>
          <w:sz w:val="24"/>
          <w:szCs w:val="24"/>
          <w:lang w:val="ro-RO"/>
        </w:rPr>
        <w:t xml:space="preserve"> beneficiază de granturi speciale, iar facultăţile care selectează studenţi din categoriile menţionate vor beneficia de bonusuri în finanţare.</w:t>
      </w:r>
      <w:r>
        <w:rPr>
          <w:rFonts w:ascii="Times New Roman" w:hAnsi="Times New Roman"/>
          <w:sz w:val="24"/>
          <w:szCs w:val="24"/>
          <w:lang w:val="ro-RO"/>
        </w:rPr>
        <w:t xml:space="preserve"> Aşadar, vă rugăm să acordaţi prioritate informării studenţiilor de ernie rromă cu privire la oportunitatea de realizare a mobilităţii Erasmus</w:t>
      </w:r>
      <w:r>
        <w:rPr>
          <w:rFonts w:ascii="Times New Roman" w:hAnsi="Times New Roman"/>
          <w:sz w:val="24"/>
          <w:szCs w:val="24"/>
          <w:lang w:val="en-GB"/>
        </w:rPr>
        <w:t>+.</w:t>
      </w:r>
    </w:p>
    <w:p w:rsidR="00840775" w:rsidRDefault="00840775" w:rsidP="00840775">
      <w:pPr>
        <w:spacing w:after="0" w:line="240" w:lineRule="auto"/>
        <w:jc w:val="both"/>
        <w:rPr>
          <w:rFonts w:ascii="Times New Roman" w:hAnsi="Times New Roman"/>
          <w:sz w:val="24"/>
          <w:szCs w:val="24"/>
          <w:lang w:val="ro-RO"/>
        </w:rPr>
      </w:pPr>
    </w:p>
    <w:p w:rsidR="00840775" w:rsidRPr="00F961D3" w:rsidRDefault="00840775" w:rsidP="0084077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cadrul unui ciclu de studiu </w:t>
      </w:r>
      <w:r w:rsidRPr="00F961D3">
        <w:rPr>
          <w:rFonts w:ascii="Times New Roman" w:hAnsi="Times New Roman"/>
          <w:sz w:val="24"/>
          <w:szCs w:val="24"/>
          <w:lang w:val="ro-RO"/>
        </w:rPr>
        <w:t>(licență, master și doctorat)</w:t>
      </w:r>
      <w:r>
        <w:rPr>
          <w:rFonts w:ascii="Times New Roman" w:hAnsi="Times New Roman"/>
          <w:sz w:val="24"/>
          <w:szCs w:val="24"/>
          <w:lang w:val="ro-RO"/>
        </w:rPr>
        <w:t>, s</w:t>
      </w:r>
      <w:r w:rsidRPr="008B3E3A">
        <w:rPr>
          <w:rFonts w:ascii="Times New Roman" w:hAnsi="Times New Roman"/>
          <w:sz w:val="24"/>
          <w:szCs w:val="24"/>
          <w:lang w:val="ro-RO"/>
        </w:rPr>
        <w:t>tudenții pot beneficia de</w:t>
      </w:r>
      <w:r>
        <w:rPr>
          <w:rFonts w:ascii="Times New Roman" w:hAnsi="Times New Roman"/>
          <w:sz w:val="24"/>
          <w:szCs w:val="24"/>
          <w:lang w:val="ro-RO"/>
        </w:rPr>
        <w:t xml:space="preserve"> mai multe</w:t>
      </w:r>
      <w:r w:rsidRPr="008B3E3A">
        <w:rPr>
          <w:rFonts w:ascii="Times New Roman" w:hAnsi="Times New Roman"/>
          <w:sz w:val="24"/>
          <w:szCs w:val="24"/>
          <w:lang w:val="ro-RO"/>
        </w:rPr>
        <w:t xml:space="preserve"> mobilități </w:t>
      </w:r>
      <w:r>
        <w:rPr>
          <w:rFonts w:ascii="Times New Roman" w:hAnsi="Times New Roman"/>
          <w:sz w:val="24"/>
          <w:szCs w:val="24"/>
          <w:lang w:val="ro-RO"/>
        </w:rPr>
        <w:t xml:space="preserve">de studiu şi practică </w:t>
      </w:r>
      <w:r w:rsidRPr="00F961D3">
        <w:rPr>
          <w:rFonts w:ascii="Times New Roman" w:hAnsi="Times New Roman"/>
          <w:sz w:val="24"/>
          <w:szCs w:val="24"/>
          <w:lang w:val="ro-RO"/>
        </w:rPr>
        <w:t xml:space="preserve">a căror durată cumulată să nu depășească 12 luni per ciclu de studiu. </w:t>
      </w:r>
      <w:r w:rsidRPr="00F961D3">
        <w:rPr>
          <w:rFonts w:ascii="Times New Roman" w:hAnsi="Times New Roman"/>
          <w:b/>
          <w:sz w:val="24"/>
          <w:szCs w:val="24"/>
          <w:u w:val="single"/>
          <w:lang w:val="ro-RO"/>
        </w:rPr>
        <w:t>Excepție</w:t>
      </w:r>
      <w:r w:rsidRPr="00F961D3">
        <w:rPr>
          <w:rFonts w:ascii="Times New Roman" w:hAnsi="Times New Roman"/>
          <w:sz w:val="24"/>
          <w:szCs w:val="24"/>
          <w:lang w:val="ro-RO"/>
        </w:rPr>
        <w:t xml:space="preserve">: </w:t>
      </w:r>
      <w:r>
        <w:rPr>
          <w:rFonts w:ascii="Times New Roman" w:hAnsi="Times New Roman"/>
          <w:sz w:val="24"/>
          <w:szCs w:val="24"/>
          <w:lang w:val="ro-RO"/>
        </w:rPr>
        <w:t xml:space="preserve">În cazul studenţilor </w:t>
      </w:r>
      <w:r w:rsidRPr="00F961D3">
        <w:rPr>
          <w:rFonts w:ascii="Times New Roman" w:hAnsi="Times New Roman"/>
          <w:sz w:val="24"/>
          <w:szCs w:val="24"/>
          <w:lang w:val="ro-RO"/>
        </w:rPr>
        <w:t>de la Facultatea de Medicină</w:t>
      </w:r>
      <w:r>
        <w:rPr>
          <w:rFonts w:ascii="Times New Roman" w:hAnsi="Times New Roman"/>
          <w:sz w:val="24"/>
          <w:szCs w:val="24"/>
          <w:lang w:val="ro-RO"/>
        </w:rPr>
        <w:t>, durata cumulată maximă a mobilităţilor este de 24 de luni</w:t>
      </w:r>
      <w:r w:rsidRPr="00F961D3">
        <w:rPr>
          <w:rFonts w:ascii="Times New Roman" w:hAnsi="Times New Roman"/>
          <w:sz w:val="24"/>
          <w:szCs w:val="24"/>
          <w:lang w:val="ro-RO"/>
        </w:rPr>
        <w:t xml:space="preserve"> per ciclu de licență.</w:t>
      </w:r>
    </w:p>
    <w:p w:rsidR="009252A9" w:rsidRDefault="009252A9"/>
    <w:p w:rsidR="00840775" w:rsidRDefault="00840775"/>
    <w:p w:rsidR="00840775" w:rsidRDefault="00840775"/>
    <w:p w:rsidR="00840775" w:rsidRPr="008B3E3A" w:rsidRDefault="00840775" w:rsidP="00840775">
      <w:pPr>
        <w:spacing w:after="0" w:line="240" w:lineRule="auto"/>
        <w:ind w:firstLine="360"/>
        <w:jc w:val="both"/>
        <w:rPr>
          <w:rFonts w:ascii="Times New Roman" w:hAnsi="Times New Roman"/>
          <w:sz w:val="24"/>
          <w:szCs w:val="24"/>
          <w:lang w:val="ro-RO"/>
        </w:rPr>
      </w:pPr>
      <w:r w:rsidRPr="008B3E3A">
        <w:rPr>
          <w:rFonts w:ascii="Times New Roman" w:hAnsi="Times New Roman"/>
          <w:sz w:val="24"/>
          <w:szCs w:val="24"/>
          <w:lang w:val="ro-RO"/>
        </w:rPr>
        <w:lastRenderedPageBreak/>
        <w:t>Dosarele de candidatură pentru selecţie trebuie să cuprindă:</w:t>
      </w:r>
    </w:p>
    <w:p w:rsidR="00840775" w:rsidRPr="009F31CC" w:rsidRDefault="00840775" w:rsidP="00840775">
      <w:pPr>
        <w:numPr>
          <w:ilvl w:val="0"/>
          <w:numId w:val="3"/>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Formular de candidatură</w:t>
      </w:r>
      <w:r w:rsidRPr="009F31CC">
        <w:rPr>
          <w:rFonts w:ascii="Times New Roman" w:hAnsi="Times New Roman"/>
          <w:i/>
          <w:sz w:val="24"/>
          <w:szCs w:val="24"/>
          <w:lang w:val="ro-RO"/>
        </w:rPr>
        <w:t xml:space="preserve"> </w:t>
      </w:r>
      <w:r w:rsidRPr="009F31CC">
        <w:rPr>
          <w:rFonts w:ascii="Times New Roman" w:hAnsi="Times New Roman"/>
          <w:b/>
          <w:i/>
          <w:sz w:val="24"/>
          <w:szCs w:val="24"/>
          <w:lang w:val="ro-RO"/>
        </w:rPr>
        <w:t>(Anexa 5)</w:t>
      </w:r>
    </w:p>
    <w:p w:rsidR="00840775" w:rsidRPr="009F31CC" w:rsidRDefault="00840775" w:rsidP="00840775">
      <w:pPr>
        <w:numPr>
          <w:ilvl w:val="0"/>
          <w:numId w:val="3"/>
        </w:numPr>
        <w:spacing w:after="0" w:line="240" w:lineRule="auto"/>
        <w:jc w:val="both"/>
        <w:rPr>
          <w:rFonts w:ascii="Times New Roman" w:hAnsi="Times New Roman"/>
          <w:b/>
          <w:i/>
          <w:sz w:val="24"/>
          <w:szCs w:val="24"/>
          <w:lang w:val="ro-RO"/>
        </w:rPr>
      </w:pPr>
      <w:r w:rsidRPr="009F31CC">
        <w:rPr>
          <w:rFonts w:ascii="Times New Roman" w:hAnsi="Times New Roman"/>
          <w:b/>
          <w:i/>
          <w:sz w:val="24"/>
          <w:szCs w:val="24"/>
          <w:lang w:val="ro-RO"/>
        </w:rPr>
        <w:t xml:space="preserve">CV Europass </w:t>
      </w:r>
      <w:r w:rsidRPr="009F31CC">
        <w:rPr>
          <w:rFonts w:ascii="Times New Roman" w:hAnsi="Times New Roman"/>
          <w:i/>
          <w:sz w:val="24"/>
          <w:szCs w:val="24"/>
          <w:lang w:val="ro-RO"/>
        </w:rPr>
        <w:t>în limbă străină</w:t>
      </w:r>
    </w:p>
    <w:p w:rsidR="00840775" w:rsidRPr="009F31CC" w:rsidRDefault="00840775" w:rsidP="00840775">
      <w:pPr>
        <w:numPr>
          <w:ilvl w:val="0"/>
          <w:numId w:val="3"/>
        </w:numPr>
        <w:spacing w:after="0" w:line="240" w:lineRule="auto"/>
        <w:jc w:val="both"/>
        <w:rPr>
          <w:rFonts w:ascii="Times New Roman" w:hAnsi="Times New Roman"/>
          <w:b/>
          <w:i/>
          <w:sz w:val="24"/>
          <w:szCs w:val="24"/>
          <w:lang w:val="ro-RO"/>
        </w:rPr>
      </w:pPr>
      <w:r w:rsidRPr="009F31CC">
        <w:rPr>
          <w:rFonts w:ascii="Times New Roman" w:hAnsi="Times New Roman"/>
          <w:b/>
          <w:i/>
          <w:sz w:val="24"/>
          <w:szCs w:val="24"/>
          <w:lang w:val="ro-RO"/>
        </w:rPr>
        <w:t>Scrisoare de intenţie/motivație</w:t>
      </w:r>
    </w:p>
    <w:p w:rsidR="00840775" w:rsidRPr="009F31CC" w:rsidRDefault="00840775" w:rsidP="00840775">
      <w:pPr>
        <w:numPr>
          <w:ilvl w:val="0"/>
          <w:numId w:val="3"/>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Extras foaie matricolă</w:t>
      </w:r>
      <w:r w:rsidRPr="009F31CC">
        <w:rPr>
          <w:rFonts w:ascii="Times New Roman" w:hAnsi="Times New Roman"/>
          <w:i/>
          <w:sz w:val="24"/>
          <w:szCs w:val="24"/>
          <w:lang w:val="ro-RO"/>
        </w:rPr>
        <w:t xml:space="preserve"> cu toate rezultatele academice anterioare candidaturii</w:t>
      </w:r>
    </w:p>
    <w:p w:rsidR="00840775" w:rsidRDefault="00840775" w:rsidP="00840775">
      <w:pPr>
        <w:numPr>
          <w:ilvl w:val="0"/>
          <w:numId w:val="3"/>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Atestat de limbă străină</w:t>
      </w:r>
      <w:r w:rsidRPr="009F31CC">
        <w:rPr>
          <w:rFonts w:ascii="Times New Roman" w:hAnsi="Times New Roman"/>
          <w:i/>
          <w:sz w:val="24"/>
          <w:szCs w:val="24"/>
          <w:lang w:val="ro-RO"/>
        </w:rPr>
        <w:t xml:space="preserve"> care să certifice cunoaşterea limbii în care studentul va urma cursurile la universitatea gazdă (certificat internaţional/ examen lingvistic la BAC</w:t>
      </w:r>
      <w:r w:rsidRPr="00E63A13">
        <w:rPr>
          <w:rFonts w:ascii="Times New Roman" w:hAnsi="Times New Roman"/>
          <w:i/>
          <w:sz w:val="24"/>
          <w:szCs w:val="24"/>
          <w:lang w:val="ro-RO"/>
        </w:rPr>
        <w:t>)</w:t>
      </w:r>
    </w:p>
    <w:p w:rsidR="00840775" w:rsidRDefault="00840775" w:rsidP="00840775">
      <w:pPr>
        <w:spacing w:after="0" w:line="240" w:lineRule="auto"/>
        <w:ind w:left="720"/>
        <w:jc w:val="both"/>
        <w:rPr>
          <w:rFonts w:ascii="Times New Roman" w:hAnsi="Times New Roman"/>
          <w:i/>
          <w:sz w:val="24"/>
          <w:szCs w:val="24"/>
          <w:lang w:val="ro-RO"/>
        </w:rPr>
      </w:pPr>
    </w:p>
    <w:p w:rsidR="00840775" w:rsidRDefault="00840775" w:rsidP="00840775">
      <w:pPr>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Obs. În data de </w:t>
      </w:r>
      <w:r w:rsidRPr="004063F1">
        <w:rPr>
          <w:rFonts w:ascii="Times New Roman" w:hAnsi="Times New Roman"/>
          <w:b/>
          <w:sz w:val="24"/>
          <w:szCs w:val="24"/>
          <w:lang w:val="ro-RO"/>
        </w:rPr>
        <w:t>23 martie 2017, ora 13:30</w:t>
      </w:r>
      <w:r>
        <w:rPr>
          <w:rFonts w:ascii="Times New Roman" w:hAnsi="Times New Roman"/>
          <w:sz w:val="24"/>
          <w:szCs w:val="24"/>
          <w:lang w:val="ro-RO"/>
        </w:rPr>
        <w:t xml:space="preserve"> Centrul de Limbi Străine (Facultatea de Litere și Arte) va organiza evaluarea lingvistică pentru limbile engleză, franceză și germana pentru viitorii studenți Erasmus in vederea obținerii certificatului care atestă cunoașterea limbii respective (pentru studenții care nu dețin deja un astfel de certificat lingvistic).</w:t>
      </w:r>
    </w:p>
    <w:p w:rsidR="00840775" w:rsidRPr="008B3E3A" w:rsidRDefault="00840775" w:rsidP="00840775">
      <w:pPr>
        <w:spacing w:after="0" w:line="240" w:lineRule="auto"/>
        <w:ind w:left="360"/>
        <w:jc w:val="both"/>
        <w:rPr>
          <w:rFonts w:ascii="Times New Roman" w:hAnsi="Times New Roman"/>
          <w:sz w:val="24"/>
          <w:szCs w:val="24"/>
          <w:lang w:val="ro-RO"/>
        </w:rPr>
      </w:pPr>
    </w:p>
    <w:p w:rsidR="00840775" w:rsidRDefault="00840775"/>
    <w:sectPr w:rsidR="00840775" w:rsidSect="009252A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19" w:rsidRDefault="00AE7D19" w:rsidP="00840775">
      <w:pPr>
        <w:spacing w:after="0" w:line="240" w:lineRule="auto"/>
      </w:pPr>
      <w:r>
        <w:separator/>
      </w:r>
    </w:p>
  </w:endnote>
  <w:endnote w:type="continuationSeparator" w:id="0">
    <w:p w:rsidR="00AE7D19" w:rsidRDefault="00AE7D19" w:rsidP="00840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580"/>
      <w:docPartObj>
        <w:docPartGallery w:val="Page Numbers (Bottom of Page)"/>
        <w:docPartUnique/>
      </w:docPartObj>
    </w:sdtPr>
    <w:sdtContent>
      <w:p w:rsidR="00840775" w:rsidRDefault="00840775">
        <w:pPr>
          <w:pStyle w:val="Footer"/>
          <w:jc w:val="right"/>
        </w:pPr>
        <w:fldSimple w:instr=" PAGE   \* MERGEFORMAT ">
          <w:r>
            <w:rPr>
              <w:noProof/>
            </w:rPr>
            <w:t>2</w:t>
          </w:r>
        </w:fldSimple>
      </w:p>
    </w:sdtContent>
  </w:sdt>
  <w:p w:rsidR="00840775" w:rsidRDefault="00840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19" w:rsidRDefault="00AE7D19" w:rsidP="00840775">
      <w:pPr>
        <w:spacing w:after="0" w:line="240" w:lineRule="auto"/>
      </w:pPr>
      <w:r>
        <w:separator/>
      </w:r>
    </w:p>
  </w:footnote>
  <w:footnote w:type="continuationSeparator" w:id="0">
    <w:p w:rsidR="00AE7D19" w:rsidRDefault="00AE7D19" w:rsidP="00840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574A"/>
    <w:multiLevelType w:val="hybridMultilevel"/>
    <w:tmpl w:val="0F882F9A"/>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5DE1AB8"/>
    <w:multiLevelType w:val="hybridMultilevel"/>
    <w:tmpl w:val="7642302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48E35E75"/>
    <w:multiLevelType w:val="hybridMultilevel"/>
    <w:tmpl w:val="11544690"/>
    <w:lvl w:ilvl="0" w:tplc="E44263DE">
      <w:numFmt w:val="bullet"/>
      <w:lvlText w:val="-"/>
      <w:lvlJc w:val="left"/>
      <w:pPr>
        <w:tabs>
          <w:tab w:val="num" w:pos="720"/>
        </w:tabs>
        <w:ind w:left="720" w:hanging="360"/>
      </w:pPr>
      <w:rPr>
        <w:rFonts w:ascii="Times New Roman" w:eastAsia="Calibri"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40775"/>
    <w:rsid w:val="00840775"/>
    <w:rsid w:val="009252A9"/>
    <w:rsid w:val="00AE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0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775"/>
    <w:rPr>
      <w:rFonts w:ascii="Calibri" w:eastAsia="Calibri" w:hAnsi="Calibri" w:cs="Times New Roman"/>
    </w:rPr>
  </w:style>
  <w:style w:type="paragraph" w:styleId="Footer">
    <w:name w:val="footer"/>
    <w:basedOn w:val="Normal"/>
    <w:link w:val="FooterChar"/>
    <w:uiPriority w:val="99"/>
    <w:unhideWhenUsed/>
    <w:rsid w:val="0084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Nicoleta Burdusel</dc:creator>
  <cp:lastModifiedBy>Eva Nicoleta Burdusel</cp:lastModifiedBy>
  <cp:revision>1</cp:revision>
  <dcterms:created xsi:type="dcterms:W3CDTF">2017-03-14T20:22:00Z</dcterms:created>
  <dcterms:modified xsi:type="dcterms:W3CDTF">2017-03-14T20:26:00Z</dcterms:modified>
</cp:coreProperties>
</file>