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22A" w14:textId="5E485AAE" w:rsidR="00003E9D" w:rsidRPr="00C765D4" w:rsidRDefault="00003E9D" w:rsidP="00003E9D">
      <w:pPr>
        <w:pStyle w:val="NormalWeb"/>
        <w:shd w:val="clear" w:color="auto" w:fill="FFFFFF"/>
        <w:jc w:val="center"/>
        <w:rPr>
          <w:rStyle w:val="Strong"/>
          <w:color w:val="000000"/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Mobilități de studiu în cadrul programului E</w:t>
      </w:r>
      <w:r w:rsidR="008F0617">
        <w:rPr>
          <w:rStyle w:val="Strong"/>
          <w:color w:val="000000"/>
          <w:sz w:val="32"/>
          <w:szCs w:val="32"/>
        </w:rPr>
        <w:t>SAYEP SEE</w:t>
      </w:r>
    </w:p>
    <w:p w14:paraId="3238E443" w14:textId="69655110" w:rsidR="00003E9D" w:rsidRPr="00C765D4" w:rsidRDefault="00003E9D" w:rsidP="00003E9D">
      <w:pPr>
        <w:pStyle w:val="NormalWeb"/>
        <w:shd w:val="clear" w:color="auto" w:fill="FFFFFF"/>
        <w:jc w:val="center"/>
        <w:rPr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Anul academic 202</w:t>
      </w:r>
      <w:r w:rsidR="004C30D9" w:rsidRPr="00C765D4">
        <w:rPr>
          <w:rStyle w:val="Strong"/>
          <w:color w:val="000000"/>
          <w:sz w:val="32"/>
          <w:szCs w:val="32"/>
        </w:rPr>
        <w:t>3</w:t>
      </w:r>
      <w:r w:rsidRPr="00C765D4">
        <w:rPr>
          <w:rStyle w:val="Strong"/>
          <w:color w:val="000000"/>
          <w:sz w:val="32"/>
          <w:szCs w:val="32"/>
        </w:rPr>
        <w:t>-202</w:t>
      </w:r>
      <w:r w:rsidR="004C30D9" w:rsidRPr="00C765D4">
        <w:rPr>
          <w:rStyle w:val="Strong"/>
          <w:color w:val="000000"/>
          <w:sz w:val="32"/>
          <w:szCs w:val="32"/>
        </w:rPr>
        <w:t>4</w:t>
      </w:r>
      <w:r w:rsidR="00F06A6D">
        <w:rPr>
          <w:rStyle w:val="Strong"/>
          <w:color w:val="000000"/>
          <w:sz w:val="32"/>
          <w:szCs w:val="32"/>
        </w:rPr>
        <w:t xml:space="preserve"> </w:t>
      </w:r>
      <w:r w:rsidR="00F06A6D">
        <w:rPr>
          <w:rStyle w:val="Strong"/>
          <w:color w:val="000000"/>
          <w:sz w:val="32"/>
          <w:szCs w:val="32"/>
        </w:rPr>
        <w:t>semestrul 1</w:t>
      </w:r>
    </w:p>
    <w:p w14:paraId="4B99B3AF" w14:textId="77777777" w:rsid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14:paraId="2B71977D" w14:textId="77777777" w:rsidR="00F06A6D" w:rsidRDefault="00F06A6D" w:rsidP="00F06A6D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ASPECTE GENERALE:</w:t>
      </w:r>
    </w:p>
    <w:p w14:paraId="3FCD4F35" w14:textId="77777777" w:rsidR="00F06A6D" w:rsidRDefault="00F06A6D" w:rsidP="00F06A6D">
      <w:pPr>
        <w:spacing w:before="120"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mobilităţilor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ESAYEP-SEE,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comunicăm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26471F4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120"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Toate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mobilitățile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ESAYEP-SEE outgoing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organizează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desfășoară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baza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unui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proces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la care au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dreptul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participe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toți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ULBS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îndeplinesc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condițiile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eligibilitate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2748558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participanților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mobilități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ESAYEP-SEE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organizează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nivelul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fiecărei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facultăți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conform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adresei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transmisă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Biroul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Erasmus+.</w:t>
      </w:r>
    </w:p>
    <w:p w14:paraId="6B2C436E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conformitate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politica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EWP,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toate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activitățile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legate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desfășoară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online,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excepția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eventual, 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întâlnirilor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comisiilor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hyperlink r:id="rId8">
        <w:r w:rsidRPr="00C4749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https://www.ulbsibiu.ro/wp-content/uploads/documents/ca/2022/Anexa-2-Componenta-comisiilor-de-selectie-a-mobilitatilor-Erasmus.pdf</w:t>
        </w:r>
      </w:hyperlink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contestații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23B139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Facultățile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afișa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avizierele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proprii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pagina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web,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începerea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perioadei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depunere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dosarelor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lista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universităților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partenere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mobilităților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disponibile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locuri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tipul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durata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mobilității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criteriile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selecție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conținutul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dosarului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candidatură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, data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concursului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probele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specifice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concursului</w:t>
      </w:r>
      <w:proofErr w:type="spellEnd"/>
      <w:r w:rsidRPr="00C47497">
        <w:rPr>
          <w:rFonts w:ascii="Times New Roman" w:eastAsia="Times New Roman" w:hAnsi="Times New Roman"/>
          <w:sz w:val="24"/>
          <w:szCs w:val="24"/>
        </w:rPr>
        <w:t>.</w:t>
      </w:r>
    </w:p>
    <w:p w14:paraId="20529EAB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candidatură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ULBS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facultăților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transmit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format electronic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secretariatele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facultăților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9DBA20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Fiecare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dosar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primi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număr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înregistrare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9FA1359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Candidații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depune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dosare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candidatură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distincte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eventualitatea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care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optează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mai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multe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tipuri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mobilitate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(EU,</w:t>
      </w:r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ESAYEP-SEE).</w:t>
      </w:r>
    </w:p>
    <w:p w14:paraId="39C5203D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Înscrierea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face o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singură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dată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toate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opțiunile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exprimate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Dosarul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rămâne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pe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toată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durata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desfășurării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facultatea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origine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dar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comisia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trimite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BE+,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format electronic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letric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centralizatoarele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urma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procesului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conform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formularelor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tipizate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furnizate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BE+. </w:t>
      </w:r>
    </w:p>
    <w:p w14:paraId="5A729502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După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încheierea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perioadei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înscriere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opțiunile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ordinea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acestora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precum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alte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informații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formularul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înscriere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nu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pot fi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modificate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incomplete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 eliminate din concurs.</w:t>
      </w:r>
    </w:p>
    <w:p w14:paraId="78CB4730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mobilități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studențești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ESAYEP-SEE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face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concurs, pe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baza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următoarelor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criterii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2976F7FF" w14:textId="77777777" w:rsidR="00F06A6D" w:rsidRPr="00C47497" w:rsidRDefault="00F06A6D" w:rsidP="00F06A6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activității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academice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14:paraId="5414B958" w14:textId="77777777" w:rsidR="00F06A6D" w:rsidRPr="00C47497" w:rsidRDefault="00F06A6D" w:rsidP="00F06A6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certificatul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testul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competență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limbă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engleză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altă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limbă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efectuare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mobilității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) – minim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nivel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B1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B2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acesta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standardul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minim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solicitat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instituția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gazdă</w:t>
      </w:r>
      <w:proofErr w:type="spellEnd"/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A17384A" w14:textId="77777777" w:rsidR="00F06A6D" w:rsidRPr="00C47497" w:rsidRDefault="00F06A6D" w:rsidP="00F06A6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interviul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7D74820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Evaluarea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realizează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folosindu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-se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fișa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evaluare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Anexa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3,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determina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punctajul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total pe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obține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finalul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procesului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 o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persoană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eligibilă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punctajul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general de concurs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minim 60</w:t>
      </w:r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iar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ierarhizarea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face pe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baza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acestui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punctaj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funcție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opțiunile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exprimate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înscriere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8F6B3EB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comunică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anonimizat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, pe site-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structurii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care s-au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depus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dosarele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Acestea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afișate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următoarele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categorii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liste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B60EC00" w14:textId="77777777" w:rsidR="00F06A6D" w:rsidRPr="00C47497" w:rsidRDefault="00F06A6D" w:rsidP="00F06A6D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selectați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locuri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suport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Erasmus+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„zero grant”,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repartizați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funcție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universitatea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destinație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14:paraId="504AAD97" w14:textId="77777777" w:rsidR="00F06A6D" w:rsidRPr="00C47497" w:rsidRDefault="00F06A6D" w:rsidP="00F06A6D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așteptare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rezerve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), care au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obținut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punctaj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general de concurs de minim 60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pot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glisa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după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eventuala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renunțare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selectați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inițial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14:paraId="5BF261C8" w14:textId="77777777" w:rsidR="00F06A6D" w:rsidRPr="00C47497" w:rsidRDefault="00F06A6D" w:rsidP="00F06A6D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respinși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C9E0D05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120"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Eventualele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contestații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privire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procesul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depuse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format </w:t>
      </w:r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electronic, 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proofErr w:type="gram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termen de 24 de ore de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afișarea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listelor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soluționate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comisia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contestații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Termenul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contestare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precizat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odată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afișarea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listelor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6667113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240"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finale ale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selecției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anunțate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pe site-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structurii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termen de maxim 24 de ore de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încheierea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perioadei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contestații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30CD446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selectați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sunt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informați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asupra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faptului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nominalizarea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anumită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universitate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nu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garantează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automat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obținerea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invitației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asemenea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situații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participanții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sunt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contactați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ghidați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BE+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vederea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găsirii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unei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alternative.</w:t>
      </w:r>
    </w:p>
    <w:p w14:paraId="0E384A43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Menționăm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că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mobilitățile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studenților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selectați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cadrul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acestui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apel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putea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desfășura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doar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semestrul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I al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anului</w:t>
      </w:r>
      <w:proofErr w:type="spellEnd"/>
      <w:r w:rsidRPr="00C47497">
        <w:rPr>
          <w:rFonts w:ascii="Times New Roman" w:eastAsia="Times New Roman" w:hAnsi="Times New Roman"/>
          <w:b/>
          <w:sz w:val="24"/>
          <w:szCs w:val="24"/>
        </w:rPr>
        <w:t xml:space="preserve"> academic 2023/2024.</w:t>
      </w:r>
      <w:r w:rsidRPr="00C4749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085B519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Regulamentul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Erasmus+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poate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consultat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link-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9">
        <w:r w:rsidRPr="00C4749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https://senat.ulbsibiu.ro/wp-content/uploads/260123/7_Regulament%20mobilitati%20Erasmus_Senat_ianuarie2023.pdf</w:t>
        </w:r>
      </w:hyperlink>
      <w:r w:rsidRPr="00C47497">
        <w:rPr>
          <w:color w:val="000000"/>
        </w:rPr>
        <w:t xml:space="preserve">   </w:t>
      </w:r>
    </w:p>
    <w:p w14:paraId="448141DE" w14:textId="77777777" w:rsidR="00F06A6D" w:rsidRPr="00C47497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Candidații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etnie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sz w:val="24"/>
          <w:szCs w:val="24"/>
        </w:rPr>
        <w:t>r</w:t>
      </w:r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om</w:t>
      </w:r>
      <w:r w:rsidRPr="00C47497">
        <w:rPr>
          <w:rFonts w:ascii="Times New Roman" w:eastAsia="Times New Roman" w:hAnsi="Times New Roman"/>
          <w:b/>
          <w:sz w:val="24"/>
          <w:szCs w:val="24"/>
        </w:rPr>
        <w:t>ă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cei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nevoi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speciale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beneficia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puncte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prioritate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adiționale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valorând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20% din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scorul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maxim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posibil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;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asemenea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beneficia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aceeași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prioritate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sunt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implicați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derularea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unui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proiect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are ca scop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îmbunătățirea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condițiilor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viață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educaţie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sănătate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etc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) ale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populației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etnie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sz w:val="24"/>
          <w:szCs w:val="24"/>
        </w:rPr>
        <w:t>r</w:t>
      </w:r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om</w:t>
      </w:r>
      <w:r w:rsidRPr="00C47497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căror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efectuează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legătură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acest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proiect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2DC8CDEC" w14:textId="77777777" w:rsidR="00F06A6D" w:rsidRDefault="00F06A6D" w:rsidP="00F06A6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Studenţii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nevoi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speciale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pot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solicita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un grant 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suplimentar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după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fost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selectaţi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efectuarea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mobilităţii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Suportul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studenţii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nevoi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speciale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inclusiv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costuri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persoană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însoţitoare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trebuie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motivat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într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-o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scrisoare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oficială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adresată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Operatorului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Program.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Această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notificare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însoţită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documente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justificative: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cererea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studentului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solicita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suplimentarea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grantului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declaraţia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persoanei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însoţitoare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privind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costuri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adiţionale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dacă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documente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medicale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justifice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nevoile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speciale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studentului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B909C45" w14:textId="77777777" w:rsidR="00F06A6D" w:rsidRPr="00C47497" w:rsidRDefault="00F06A6D" w:rsidP="00F06A6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C7CC1F" w14:textId="77777777" w:rsidR="00F06A6D" w:rsidRDefault="00F06A6D" w:rsidP="00F06A6D">
      <w:pPr>
        <w:spacing w:after="0"/>
        <w:ind w:hanging="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BAREME APLICABILE PENTRU MOBILITĂȚILE ESAYEP-SEE:</w:t>
      </w:r>
    </w:p>
    <w:p w14:paraId="1CEE9EED" w14:textId="77777777" w:rsidR="00F06A6D" w:rsidRDefault="00F06A6D" w:rsidP="00F06A6D">
      <w:pPr>
        <w:spacing w:after="0"/>
        <w:ind w:right="115"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regulile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ESAYEP-SEE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efectuează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mobilitate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ESAYEP-SEE,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lunar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09539F86" w14:textId="77777777" w:rsidR="00F06A6D" w:rsidRPr="00C47497" w:rsidRDefault="00F06A6D" w:rsidP="00F06A6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Grant: 1200 EUR/</w:t>
      </w:r>
      <w:proofErr w:type="spellStart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lun</w:t>
      </w:r>
      <w:r w:rsidRPr="00C47497">
        <w:rPr>
          <w:rFonts w:ascii="Times New Roman" w:eastAsia="Times New Roman" w:hAnsi="Times New Roman"/>
          <w:b/>
          <w:sz w:val="24"/>
          <w:szCs w:val="24"/>
        </w:rPr>
        <w:t>ă</w:t>
      </w:r>
      <w:proofErr w:type="spellEnd"/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681B9EB6" w14:textId="77777777" w:rsidR="00F06A6D" w:rsidRPr="00C47497" w:rsidRDefault="00F06A6D" w:rsidP="00F06A6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costurile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r w:rsidRPr="00C47497">
        <w:rPr>
          <w:rFonts w:ascii="Times New Roman" w:eastAsia="Times New Roman" w:hAnsi="Times New Roman"/>
          <w:b/>
          <w:color w:val="000000"/>
          <w:sz w:val="24"/>
          <w:szCs w:val="24"/>
        </w:rPr>
        <w:t>transport</w:t>
      </w:r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utiliza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următoarele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rate: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2"/>
        <w:gridCol w:w="2619"/>
      </w:tblGrid>
      <w:tr w:rsidR="00F06A6D" w:rsidRPr="00F8247C" w14:paraId="5233F84D" w14:textId="77777777" w:rsidTr="00E75877">
        <w:trPr>
          <w:trHeight w:val="144"/>
          <w:jc w:val="center"/>
        </w:trPr>
        <w:tc>
          <w:tcPr>
            <w:tcW w:w="6442" w:type="dxa"/>
          </w:tcPr>
          <w:p w14:paraId="06A48D74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F8247C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Volda</w:t>
            </w:r>
            <w:proofErr w:type="spellEnd"/>
            <w:r w:rsidRPr="00F8247C">
              <w:rPr>
                <w:rFonts w:ascii="Times New Roman" w:eastAsia="Times New Roman" w:hAnsi="Times New Roman"/>
                <w:b/>
                <w:color w:val="000000"/>
              </w:rPr>
              <w:t xml:space="preserve"> University College, </w:t>
            </w:r>
            <w:proofErr w:type="spellStart"/>
            <w:r w:rsidRPr="00F8247C">
              <w:rPr>
                <w:rFonts w:ascii="Times New Roman" w:eastAsia="Times New Roman" w:hAnsi="Times New Roman"/>
                <w:b/>
                <w:color w:val="000000"/>
              </w:rPr>
              <w:t>Norvegia</w:t>
            </w:r>
            <w:proofErr w:type="spellEnd"/>
          </w:p>
        </w:tc>
        <w:tc>
          <w:tcPr>
            <w:tcW w:w="2619" w:type="dxa"/>
          </w:tcPr>
          <w:p w14:paraId="71D34CBE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>360 EUR</w:t>
            </w:r>
          </w:p>
        </w:tc>
      </w:tr>
      <w:tr w:rsidR="00F06A6D" w:rsidRPr="00F8247C" w14:paraId="4DCA715B" w14:textId="77777777" w:rsidTr="00E75877">
        <w:trPr>
          <w:trHeight w:val="144"/>
          <w:jc w:val="center"/>
        </w:trPr>
        <w:tc>
          <w:tcPr>
            <w:tcW w:w="6442" w:type="dxa"/>
          </w:tcPr>
          <w:p w14:paraId="2EC995BD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 xml:space="preserve">University College of Southeast </w:t>
            </w:r>
            <w:proofErr w:type="spellStart"/>
            <w:r w:rsidRPr="00F8247C">
              <w:rPr>
                <w:rFonts w:ascii="Times New Roman" w:eastAsia="Times New Roman" w:hAnsi="Times New Roman"/>
                <w:b/>
                <w:color w:val="000000"/>
              </w:rPr>
              <w:t>Norvegia</w:t>
            </w:r>
            <w:proofErr w:type="spellEnd"/>
          </w:p>
        </w:tc>
        <w:tc>
          <w:tcPr>
            <w:tcW w:w="2619" w:type="dxa"/>
          </w:tcPr>
          <w:p w14:paraId="06823F7E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>275 EUR</w:t>
            </w:r>
          </w:p>
        </w:tc>
      </w:tr>
      <w:tr w:rsidR="00F06A6D" w:rsidRPr="00F8247C" w14:paraId="7666C231" w14:textId="77777777" w:rsidTr="00E75877">
        <w:trPr>
          <w:trHeight w:val="144"/>
          <w:jc w:val="center"/>
        </w:trPr>
        <w:tc>
          <w:tcPr>
            <w:tcW w:w="6442" w:type="dxa"/>
          </w:tcPr>
          <w:p w14:paraId="6A6B8CD1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 xml:space="preserve">University of </w:t>
            </w:r>
            <w:proofErr w:type="spellStart"/>
            <w:r w:rsidRPr="00F8247C">
              <w:rPr>
                <w:rFonts w:ascii="Times New Roman" w:eastAsia="Times New Roman" w:hAnsi="Times New Roman"/>
                <w:b/>
                <w:color w:val="000000"/>
              </w:rPr>
              <w:t>Agder</w:t>
            </w:r>
            <w:proofErr w:type="spellEnd"/>
            <w:r w:rsidRPr="00F8247C"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proofErr w:type="spellStart"/>
            <w:r w:rsidRPr="00F8247C">
              <w:rPr>
                <w:rFonts w:ascii="Times New Roman" w:eastAsia="Times New Roman" w:hAnsi="Times New Roman"/>
                <w:b/>
                <w:color w:val="000000"/>
              </w:rPr>
              <w:t>Norvegia</w:t>
            </w:r>
            <w:proofErr w:type="spellEnd"/>
          </w:p>
        </w:tc>
        <w:tc>
          <w:tcPr>
            <w:tcW w:w="2619" w:type="dxa"/>
          </w:tcPr>
          <w:p w14:paraId="3B06292F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>275 EUR</w:t>
            </w:r>
          </w:p>
        </w:tc>
      </w:tr>
      <w:tr w:rsidR="00F06A6D" w:rsidRPr="00F8247C" w14:paraId="041A9829" w14:textId="77777777" w:rsidTr="00E75877">
        <w:trPr>
          <w:trHeight w:val="144"/>
          <w:jc w:val="center"/>
        </w:trPr>
        <w:tc>
          <w:tcPr>
            <w:tcW w:w="6442" w:type="dxa"/>
          </w:tcPr>
          <w:p w14:paraId="5F34D500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>University of Liechtenstein, Liechtenstein</w:t>
            </w:r>
          </w:p>
        </w:tc>
        <w:tc>
          <w:tcPr>
            <w:tcW w:w="2619" w:type="dxa"/>
          </w:tcPr>
          <w:p w14:paraId="08DC3CF1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>275 EUR</w:t>
            </w:r>
          </w:p>
        </w:tc>
      </w:tr>
      <w:tr w:rsidR="00F06A6D" w:rsidRPr="00F8247C" w14:paraId="1FC4678F" w14:textId="77777777" w:rsidTr="00E75877">
        <w:trPr>
          <w:trHeight w:val="144"/>
          <w:jc w:val="center"/>
        </w:trPr>
        <w:tc>
          <w:tcPr>
            <w:tcW w:w="6442" w:type="dxa"/>
          </w:tcPr>
          <w:p w14:paraId="0B4C0FA0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 xml:space="preserve">University of Iceland, </w:t>
            </w:r>
            <w:proofErr w:type="spellStart"/>
            <w:r w:rsidRPr="00F8247C">
              <w:rPr>
                <w:rFonts w:ascii="Times New Roman" w:eastAsia="Times New Roman" w:hAnsi="Times New Roman"/>
                <w:b/>
                <w:color w:val="000000"/>
              </w:rPr>
              <w:t>Islanda</w:t>
            </w:r>
            <w:proofErr w:type="spellEnd"/>
          </w:p>
        </w:tc>
        <w:tc>
          <w:tcPr>
            <w:tcW w:w="2619" w:type="dxa"/>
          </w:tcPr>
          <w:p w14:paraId="00001F7B" w14:textId="77777777" w:rsidR="00F06A6D" w:rsidRPr="00F8247C" w:rsidRDefault="00F06A6D" w:rsidP="00E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8247C">
              <w:rPr>
                <w:rFonts w:ascii="Times New Roman" w:eastAsia="Times New Roman" w:hAnsi="Times New Roman"/>
                <w:b/>
                <w:color w:val="000000"/>
              </w:rPr>
              <w:t>530 EUR</w:t>
            </w:r>
          </w:p>
        </w:tc>
      </w:tr>
    </w:tbl>
    <w:p w14:paraId="4CC5A36E" w14:textId="77777777" w:rsidR="00F06A6D" w:rsidRPr="00F8247C" w:rsidRDefault="00F06A6D" w:rsidP="00F06A6D">
      <w:pPr>
        <w:spacing w:after="0" w:line="240" w:lineRule="auto"/>
        <w:ind w:hanging="2"/>
        <w:rPr>
          <w:rFonts w:ascii="Times New Roman" w:eastAsia="Times New Roman" w:hAnsi="Times New Roman"/>
          <w:sz w:val="16"/>
          <w:szCs w:val="16"/>
          <w:highlight w:val="yellow"/>
        </w:rPr>
      </w:pPr>
    </w:p>
    <w:p w14:paraId="5F6275E6" w14:textId="77777777" w:rsidR="00F06A6D" w:rsidRDefault="00F06A6D" w:rsidP="00F06A6D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51B895A" w14:textId="541772B3" w:rsidR="00F06A6D" w:rsidRDefault="00F06A6D" w:rsidP="00F06A6D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aplicanții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transmit online,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intermediul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formular,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secretariatele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facultăților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conține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2E79C562" w14:textId="77777777" w:rsidR="00F06A6D" w:rsidRDefault="00F06A6D" w:rsidP="00F06A6D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C712C19" w14:textId="77777777" w:rsidR="00F06A6D" w:rsidRPr="00C47497" w:rsidRDefault="00F06A6D" w:rsidP="00F06A6D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formular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eligibilitate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înscriere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precizarea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opțiunilor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Anexa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2</w:t>
      </w:r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</w:p>
    <w:p w14:paraId="3CB56BDC" w14:textId="77777777" w:rsidR="00F06A6D" w:rsidRPr="00C47497" w:rsidRDefault="00F06A6D" w:rsidP="00F06A6D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scrisoare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intenție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redactată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limba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engleză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limba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efectua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studiile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prima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opțiune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exprimată</w:t>
      </w:r>
      <w:proofErr w:type="spellEnd"/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</w:p>
    <w:p w14:paraId="16F7BA48" w14:textId="77777777" w:rsidR="00F06A6D" w:rsidRPr="00C47497" w:rsidRDefault="00F06A6D" w:rsidP="00F06A6D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copie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carte de </w:t>
      </w:r>
      <w:proofErr w:type="spellStart"/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identitate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8B20A17" w14:textId="77777777" w:rsidR="00F06A6D" w:rsidRPr="00C47497" w:rsidRDefault="00F06A6D" w:rsidP="00F06A6D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adeverință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student;</w:t>
      </w:r>
      <w:proofErr w:type="gramEnd"/>
    </w:p>
    <w:p w14:paraId="2139D519" w14:textId="77777777" w:rsidR="00F06A6D" w:rsidRPr="00C47497" w:rsidRDefault="00F06A6D" w:rsidP="00F06A6D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curriculum vitae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tehnoredactat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limba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engleză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limba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efectua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studiile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prima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opțiune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exprimată</w:t>
      </w:r>
      <w:proofErr w:type="spellEnd"/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</w:p>
    <w:p w14:paraId="42B0D129" w14:textId="77777777" w:rsidR="00F06A6D" w:rsidRPr="00C47497" w:rsidRDefault="00F06A6D" w:rsidP="00F06A6D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documente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atestă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academice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anterioare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adeverință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situația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școlară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supliment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secretariatul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facultății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cu media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generală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anilor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anteriori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(minim 6).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anul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I de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licență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considerare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media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primului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semestru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absolvit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ciclul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master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doctorat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calcul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media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generală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absolvire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programului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anterior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încheiat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454EAC3" w14:textId="77777777" w:rsidR="00F06A6D" w:rsidRPr="00C47497" w:rsidRDefault="00F06A6D" w:rsidP="00F06A6D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document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atestă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testului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limbă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probă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scrisă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orală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caracter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eliminatoriu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). Sunt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scutiți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acest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test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prezintă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certificat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atestat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limbă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străină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emis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instituții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autorizate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nivel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minim B1,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aceia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urmează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programe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predate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limbi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străine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8BEFEA7" w14:textId="43DD244F" w:rsidR="00F06A6D" w:rsidRDefault="00F06A6D" w:rsidP="00F06A6D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alte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documente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opționale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relevante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mobilitatea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solicitată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precum certificate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lingvistice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privind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alte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limbi,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atestate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profesionale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diplome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certificate,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atestări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privind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cercetării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științifice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studențești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practici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participări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proiecte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extracuriculare</w:t>
      </w:r>
      <w:proofErr w:type="spellEnd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7497">
        <w:rPr>
          <w:rFonts w:ascii="Times New Roman" w:eastAsia="Times New Roman" w:hAnsi="Times New Roman"/>
          <w:color w:val="000000"/>
          <w:sz w:val="24"/>
          <w:szCs w:val="24"/>
        </w:rPr>
        <w:t>etc.;</w:t>
      </w:r>
      <w:proofErr w:type="gramEnd"/>
    </w:p>
    <w:p w14:paraId="15C6C990" w14:textId="77777777" w:rsidR="00F06A6D" w:rsidRPr="00C47497" w:rsidRDefault="00F06A6D" w:rsidP="00F06A6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right="116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23C0EE7" w14:textId="77777777" w:rsidR="00F06A6D" w:rsidRDefault="00F06A6D" w:rsidP="00F06A6D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FORMULARUL DE CANDIDATURĂ PENTRU O MOBILITATE ESAYEP-SEE: </w:t>
      </w:r>
      <w:hyperlink r:id="rId10" w:history="1">
        <w:r w:rsidRPr="00B658B6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https://forms.gle/ZqJMMAbhdFHSm4Rv6</w:t>
        </w:r>
      </w:hyperlink>
    </w:p>
    <w:p w14:paraId="0514A3A4" w14:textId="77777777" w:rsidR="00F06A6D" w:rsidRDefault="00F06A6D" w:rsidP="00F06A6D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18E339A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167E3B" w:rsidRPr="000339A0" w:rsidSect="00F06A6D">
      <w:headerReference w:type="default" r:id="rId11"/>
      <w:footerReference w:type="default" r:id="rId12"/>
      <w:pgSz w:w="11907" w:h="16839" w:code="9"/>
      <w:pgMar w:top="720" w:right="1134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3E65" w14:textId="77777777" w:rsidR="000B5D90" w:rsidRDefault="000B5D90" w:rsidP="0044289F">
      <w:pPr>
        <w:spacing w:after="0" w:line="240" w:lineRule="auto"/>
      </w:pPr>
      <w:r>
        <w:separator/>
      </w:r>
    </w:p>
  </w:endnote>
  <w:endnote w:type="continuationSeparator" w:id="0">
    <w:p w14:paraId="5D03A1E6" w14:textId="77777777" w:rsidR="000B5D90" w:rsidRDefault="000B5D90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4A4B" w14:textId="48D3F3AE" w:rsidR="00BE2A70" w:rsidRPr="00320123" w:rsidRDefault="000001DD" w:rsidP="009F7D19">
    <w:pPr>
      <w:spacing w:after="0" w:line="240" w:lineRule="auto"/>
      <w:jc w:val="both"/>
      <w:rPr>
        <w:rFonts w:ascii="Helvetica Narrow" w:hAnsi="Helvetica Narrow"/>
        <w:color w:val="244061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B0319A" wp14:editId="323C27E9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9509C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21.55.56</w:t>
                          </w:r>
                        </w:p>
                        <w:p w14:paraId="7EA483F5" w14:textId="77777777" w:rsidR="00BE2A70" w:rsidRPr="00F57737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Fax: +40 269 21.27.07</w:t>
                          </w:r>
                        </w:p>
                        <w:p w14:paraId="0867537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litere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</w:p>
                        <w:p w14:paraId="7EF94FF2" w14:textId="77777777" w:rsidR="00BE2A70" w:rsidRDefault="00BE2A7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31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669509C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21.55.56</w:t>
                    </w:r>
                  </w:p>
                  <w:p w14:paraId="7EA483F5" w14:textId="77777777" w:rsidR="00BE2A70" w:rsidRPr="00F57737" w:rsidRDefault="00BE2A70" w:rsidP="009F7D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>Fax: +40 269 21.27.07</w:t>
                    </w:r>
                  </w:p>
                  <w:p w14:paraId="0867537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litere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</w:p>
                  <w:p w14:paraId="7EF94FF2" w14:textId="77777777" w:rsidR="00BE2A70" w:rsidRDefault="00BE2A7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E2A70" w:rsidRPr="00122DEA">
      <w:rPr>
        <w:b/>
        <w:color w:val="0B2F63"/>
        <w:sz w:val="48"/>
        <w:szCs w:val="48"/>
      </w:rPr>
      <w:object w:dxaOrig="9964" w:dyaOrig="47" w14:anchorId="446B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525.6pt;height:7.2pt">
          <v:imagedata r:id="rId1" o:title=""/>
        </v:shape>
        <o:OLEObject Type="Embed" ProgID="CorelDraw.Graphic.15" ShapeID="_x0000_i1050" DrawAspect="Content" ObjectID="_1740220848" r:id="rId2"/>
      </w:object>
    </w: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9FAD1" wp14:editId="4F133A77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E82B7" w14:textId="77777777" w:rsidR="00BE2A70" w:rsidRPr="001F308F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989AF00" w14:textId="77777777" w:rsidR="00BE2A70" w:rsidRPr="00F57737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720B6B0A" w14:textId="77777777" w:rsidR="00BE2A70" w:rsidRPr="001F308F" w:rsidRDefault="00BE2A7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9FAD1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C1E82B7" w14:textId="77777777" w:rsidR="00BE2A70" w:rsidRPr="001F308F" w:rsidRDefault="00BE2A7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989AF00" w14:textId="77777777" w:rsidR="00BE2A70" w:rsidRPr="00F57737" w:rsidRDefault="00BE2A7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720B6B0A" w14:textId="77777777" w:rsidR="00BE2A70" w:rsidRPr="001F308F" w:rsidRDefault="00BE2A7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E2A70">
      <w:rPr>
        <w:rFonts w:ascii="Helvetica Narrow" w:hAnsi="Helvetica Narrow"/>
        <w:noProof/>
        <w:color w:val="17365D"/>
      </w:rPr>
      <w:t>Bd. Victoriei Nr. 5-7</w:t>
    </w:r>
  </w:p>
  <w:p w14:paraId="20CDEE86" w14:textId="77777777" w:rsidR="00BE2A70" w:rsidRPr="00320123" w:rsidRDefault="00BE2A70" w:rsidP="009F7D19">
    <w:pPr>
      <w:pStyle w:val="Footer"/>
      <w:tabs>
        <w:tab w:val="right" w:pos="9540"/>
      </w:tabs>
      <w:rPr>
        <w:rFonts w:ascii="Helvetica Narrow" w:hAnsi="Helvetica Narrow"/>
        <w:noProof/>
        <w:color w:val="17365D"/>
      </w:rPr>
    </w:pPr>
    <w:r w:rsidRPr="00320123">
      <w:rPr>
        <w:rFonts w:ascii="Helvetica Narrow" w:hAnsi="Helvetica Narrow"/>
        <w:noProof/>
        <w:color w:val="17365D"/>
      </w:rPr>
      <w:t>550</w:t>
    </w:r>
    <w:r>
      <w:rPr>
        <w:rFonts w:ascii="Helvetica Narrow" w:hAnsi="Helvetica Narrow"/>
        <w:noProof/>
        <w:color w:val="17365D"/>
      </w:rPr>
      <w:t>024</w:t>
    </w:r>
    <w:r w:rsidRPr="00320123">
      <w:rPr>
        <w:rFonts w:ascii="Helvetica Narrow" w:hAnsi="Helvetica Narrow"/>
        <w:noProof/>
        <w:color w:val="17365D"/>
      </w:rPr>
      <w:t>, Sibiu, Rom</w:t>
    </w:r>
    <w:r w:rsidRPr="001F308F">
      <w:rPr>
        <w:rFonts w:ascii="Helvetica Narrow" w:hAnsi="Helvetica Narrow"/>
        <w:noProof/>
        <w:color w:val="17365D"/>
      </w:rPr>
      <w:t>â</w:t>
    </w:r>
    <w:r w:rsidRPr="00320123">
      <w:rPr>
        <w:rFonts w:ascii="Helvetica Narrow" w:hAnsi="Helvetica Narrow"/>
        <w:noProof/>
        <w:color w:val="17365D"/>
      </w:rPr>
      <w:t>nia</w:t>
    </w:r>
  </w:p>
  <w:p w14:paraId="174444E7" w14:textId="77777777" w:rsidR="00BE2A70" w:rsidRDefault="00BE2A70" w:rsidP="009F7D19">
    <w:pPr>
      <w:spacing w:after="0" w:line="240" w:lineRule="auto"/>
      <w:jc w:val="both"/>
      <w:rPr>
        <w:rFonts w:ascii="Helvetica Narrow" w:hAnsi="Helvetica Narrow"/>
        <w:b/>
        <w:noProof/>
        <w:color w:val="17365D"/>
      </w:rPr>
    </w:pPr>
    <w:r>
      <w:rPr>
        <w:rFonts w:ascii="Helvetica Narrow" w:hAnsi="Helvetica Narrow"/>
        <w:b/>
        <w:noProof/>
        <w:color w:val="17365D"/>
      </w:rPr>
      <w:t>litere</w:t>
    </w:r>
    <w:r w:rsidRPr="00320123">
      <w:rPr>
        <w:rFonts w:ascii="Helvetica Narrow" w:hAnsi="Helvetica Narrow"/>
        <w:b/>
        <w:noProof/>
        <w:color w:val="17365D"/>
      </w:rPr>
      <w:t>.ulbsibiu.ro</w:t>
    </w:r>
  </w:p>
  <w:p w14:paraId="31140A91" w14:textId="77777777" w:rsidR="00BE2A70" w:rsidRPr="001F308F" w:rsidRDefault="00BE2A70" w:rsidP="009F7D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39FE" w14:textId="77777777" w:rsidR="000B5D90" w:rsidRDefault="000B5D90" w:rsidP="0044289F">
      <w:pPr>
        <w:spacing w:after="0" w:line="240" w:lineRule="auto"/>
      </w:pPr>
      <w:r>
        <w:separator/>
      </w:r>
    </w:p>
  </w:footnote>
  <w:footnote w:type="continuationSeparator" w:id="0">
    <w:p w14:paraId="7DF84228" w14:textId="77777777" w:rsidR="000B5D90" w:rsidRDefault="000B5D90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82E3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7344749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B9F8913" w14:textId="06165D91" w:rsidR="00BE2A70" w:rsidRPr="00FA5219" w:rsidRDefault="000001D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8DC91" wp14:editId="1B64D399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81524" w14:textId="77777777" w:rsidR="00BE2A70" w:rsidRPr="00ED5D54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 xml:space="preserve"> Educa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  <w:r w:rsidRPr="00ED5D54">
                            <w:rPr>
                              <w:rFonts w:ascii="Helvetica Narrow" w:hAnsi="Helvetica Narrow" w:cs="Arial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ş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i Cercetării</w:t>
                          </w:r>
                        </w:p>
                        <w:p w14:paraId="1E7FF19A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r w:rsidRPr="00FE6C37">
                            <w:rPr>
                              <w:rFonts w:ascii="Helvetica Narrow" w:hAnsi="Helvetica Narrow"/>
                              <w:color w:val="24406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D646D99" w14:textId="77777777" w:rsidR="00BE2A70" w:rsidRPr="00ED5D54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0CD5975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Litere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Arte</w:t>
                          </w:r>
                          <w:proofErr w:type="spellEnd"/>
                        </w:p>
                        <w:p w14:paraId="60ED8CEF" w14:textId="77777777" w:rsidR="00BE2A70" w:rsidRPr="00DB42BB" w:rsidRDefault="00BE2A70" w:rsidP="0018203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44485D8" w14:textId="77777777" w:rsidR="00BE2A70" w:rsidRPr="00BE57D6" w:rsidRDefault="00BE2A7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8DC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" filled="f" stroked="f">
              <v:textbox>
                <w:txbxContent>
                  <w:p w14:paraId="6CE81524" w14:textId="77777777" w:rsidR="00BE2A70" w:rsidRPr="00ED5D54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 xml:space="preserve"> Educa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ţiei </w:t>
                    </w:r>
                    <w:r w:rsidRPr="00ED5D54">
                      <w:rPr>
                        <w:rFonts w:ascii="Helvetica Narrow" w:hAnsi="Helvetica Narrow" w:cs="Arial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ş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i Cercetării</w:t>
                    </w:r>
                  </w:p>
                  <w:p w14:paraId="1E7FF19A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r w:rsidRPr="00FE6C37">
                      <w:rPr>
                        <w:rFonts w:ascii="Helvetica Narrow" w:hAnsi="Helvetica Narrow"/>
                        <w:color w:val="24406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D646D99" w14:textId="77777777" w:rsidR="00BE2A70" w:rsidRPr="00ED5D54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00CD5975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Litere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şi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Arte</w:t>
                    </w:r>
                    <w:proofErr w:type="spellEnd"/>
                  </w:p>
                  <w:p w14:paraId="60ED8CEF" w14:textId="77777777" w:rsidR="00BE2A70" w:rsidRPr="00DB42BB" w:rsidRDefault="00BE2A70" w:rsidP="0018203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144485D8" w14:textId="77777777" w:rsidR="00BE2A70" w:rsidRPr="00BE57D6" w:rsidRDefault="00BE2A7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BE2A70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052659D" wp14:editId="5411280E">
          <wp:extent cx="2103120" cy="6248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A514D" w14:textId="77777777" w:rsidR="00BE2A70" w:rsidRPr="00FA5219" w:rsidRDefault="00BE2A7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6DEDE809" w14:textId="77777777" w:rsidR="00BE2A70" w:rsidRPr="00355381" w:rsidRDefault="00BE2A7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13A7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525.6pt;height:7.2pt">
          <v:imagedata r:id="rId2" o:title=""/>
        </v:shape>
        <o:OLEObject Type="Embed" ProgID="CorelDraw.Graphic.15" ShapeID="_x0000_i1049" DrawAspect="Content" ObjectID="_174022084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31AAE"/>
    <w:multiLevelType w:val="hybridMultilevel"/>
    <w:tmpl w:val="990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C33A8"/>
    <w:multiLevelType w:val="hybridMultilevel"/>
    <w:tmpl w:val="C75CCA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901A9"/>
    <w:multiLevelType w:val="hybridMultilevel"/>
    <w:tmpl w:val="B78E5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10CCC"/>
    <w:multiLevelType w:val="hybridMultilevel"/>
    <w:tmpl w:val="63564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2C38"/>
    <w:multiLevelType w:val="multilevel"/>
    <w:tmpl w:val="223C9D4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6BCE0521"/>
    <w:multiLevelType w:val="multilevel"/>
    <w:tmpl w:val="D39C7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F079EE"/>
    <w:multiLevelType w:val="hybridMultilevel"/>
    <w:tmpl w:val="E388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50313">
    <w:abstractNumId w:val="0"/>
  </w:num>
  <w:num w:numId="2" w16cid:durableId="13681454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8845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41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501021">
    <w:abstractNumId w:val="8"/>
  </w:num>
  <w:num w:numId="6" w16cid:durableId="559294244">
    <w:abstractNumId w:val="9"/>
  </w:num>
  <w:num w:numId="7" w16cid:durableId="1256211664">
    <w:abstractNumId w:val="1"/>
  </w:num>
  <w:num w:numId="8" w16cid:durableId="482310993">
    <w:abstractNumId w:val="3"/>
  </w:num>
  <w:num w:numId="9" w16cid:durableId="365834760">
    <w:abstractNumId w:val="6"/>
  </w:num>
  <w:num w:numId="10" w16cid:durableId="682901213">
    <w:abstractNumId w:val="7"/>
  </w:num>
  <w:num w:numId="11" w16cid:durableId="1701973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01DD"/>
    <w:rsid w:val="000001FB"/>
    <w:rsid w:val="0000175F"/>
    <w:rsid w:val="00003C1B"/>
    <w:rsid w:val="00003E9D"/>
    <w:rsid w:val="00006345"/>
    <w:rsid w:val="000339A0"/>
    <w:rsid w:val="00053FA3"/>
    <w:rsid w:val="000666F2"/>
    <w:rsid w:val="00080BAF"/>
    <w:rsid w:val="000826D7"/>
    <w:rsid w:val="00093C41"/>
    <w:rsid w:val="00094E16"/>
    <w:rsid w:val="00096E2E"/>
    <w:rsid w:val="000A42A8"/>
    <w:rsid w:val="000A5308"/>
    <w:rsid w:val="000B523B"/>
    <w:rsid w:val="000B5D90"/>
    <w:rsid w:val="000C0452"/>
    <w:rsid w:val="000C797B"/>
    <w:rsid w:val="000D3962"/>
    <w:rsid w:val="00105B39"/>
    <w:rsid w:val="0010685A"/>
    <w:rsid w:val="00114111"/>
    <w:rsid w:val="00122DEA"/>
    <w:rsid w:val="001350E0"/>
    <w:rsid w:val="00163B88"/>
    <w:rsid w:val="0016546E"/>
    <w:rsid w:val="00167E3B"/>
    <w:rsid w:val="001815FE"/>
    <w:rsid w:val="00182033"/>
    <w:rsid w:val="0019145D"/>
    <w:rsid w:val="001A04F3"/>
    <w:rsid w:val="001A7EFE"/>
    <w:rsid w:val="001B036B"/>
    <w:rsid w:val="001B647F"/>
    <w:rsid w:val="001C5469"/>
    <w:rsid w:val="001C55EE"/>
    <w:rsid w:val="001D3428"/>
    <w:rsid w:val="001D78F2"/>
    <w:rsid w:val="001E320A"/>
    <w:rsid w:val="001F1A9B"/>
    <w:rsid w:val="0021251C"/>
    <w:rsid w:val="00214F8F"/>
    <w:rsid w:val="002257B1"/>
    <w:rsid w:val="002361F4"/>
    <w:rsid w:val="0024008C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257A0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C30D9"/>
    <w:rsid w:val="004D0B56"/>
    <w:rsid w:val="004D39F3"/>
    <w:rsid w:val="004E01E3"/>
    <w:rsid w:val="005117A6"/>
    <w:rsid w:val="00513FA1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34985"/>
    <w:rsid w:val="00634C16"/>
    <w:rsid w:val="00635472"/>
    <w:rsid w:val="00657517"/>
    <w:rsid w:val="00661A65"/>
    <w:rsid w:val="0066538D"/>
    <w:rsid w:val="006671E6"/>
    <w:rsid w:val="00670D78"/>
    <w:rsid w:val="00672FAA"/>
    <w:rsid w:val="006970E4"/>
    <w:rsid w:val="006D4DE3"/>
    <w:rsid w:val="006D61E2"/>
    <w:rsid w:val="006D65FE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4C98"/>
    <w:rsid w:val="00866D3C"/>
    <w:rsid w:val="00891A0A"/>
    <w:rsid w:val="00895032"/>
    <w:rsid w:val="008A52B4"/>
    <w:rsid w:val="008A6E02"/>
    <w:rsid w:val="008B2D05"/>
    <w:rsid w:val="008C6171"/>
    <w:rsid w:val="008E16A1"/>
    <w:rsid w:val="008F0617"/>
    <w:rsid w:val="008F54D4"/>
    <w:rsid w:val="00900CED"/>
    <w:rsid w:val="009045E6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7D19"/>
    <w:rsid w:val="00A27494"/>
    <w:rsid w:val="00A54E13"/>
    <w:rsid w:val="00A7291D"/>
    <w:rsid w:val="00A857C2"/>
    <w:rsid w:val="00AC66D8"/>
    <w:rsid w:val="00AD2D02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E2A70"/>
    <w:rsid w:val="00BE3E9A"/>
    <w:rsid w:val="00BE57D6"/>
    <w:rsid w:val="00BF0F71"/>
    <w:rsid w:val="00BF3343"/>
    <w:rsid w:val="00C07459"/>
    <w:rsid w:val="00C103CD"/>
    <w:rsid w:val="00C13F10"/>
    <w:rsid w:val="00C14441"/>
    <w:rsid w:val="00C16A63"/>
    <w:rsid w:val="00C30085"/>
    <w:rsid w:val="00C3020D"/>
    <w:rsid w:val="00C41B16"/>
    <w:rsid w:val="00C51CD2"/>
    <w:rsid w:val="00C5510E"/>
    <w:rsid w:val="00C632AC"/>
    <w:rsid w:val="00C765D4"/>
    <w:rsid w:val="00C80715"/>
    <w:rsid w:val="00C80A84"/>
    <w:rsid w:val="00C85973"/>
    <w:rsid w:val="00C92695"/>
    <w:rsid w:val="00CA15B3"/>
    <w:rsid w:val="00CA7E47"/>
    <w:rsid w:val="00CB576C"/>
    <w:rsid w:val="00CB79B8"/>
    <w:rsid w:val="00CC7E48"/>
    <w:rsid w:val="00CE788D"/>
    <w:rsid w:val="00CF2DEE"/>
    <w:rsid w:val="00CF3842"/>
    <w:rsid w:val="00D30925"/>
    <w:rsid w:val="00D469AD"/>
    <w:rsid w:val="00D72000"/>
    <w:rsid w:val="00D903E9"/>
    <w:rsid w:val="00D97B50"/>
    <w:rsid w:val="00DB42BB"/>
    <w:rsid w:val="00DB7AFB"/>
    <w:rsid w:val="00DD2A28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652E2"/>
    <w:rsid w:val="00E748EE"/>
    <w:rsid w:val="00E76BCF"/>
    <w:rsid w:val="00E776E2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81F"/>
    <w:rsid w:val="00F06A6D"/>
    <w:rsid w:val="00F1153E"/>
    <w:rsid w:val="00F148BE"/>
    <w:rsid w:val="00F219BC"/>
    <w:rsid w:val="00F370DB"/>
    <w:rsid w:val="00F47845"/>
    <w:rsid w:val="00F534B0"/>
    <w:rsid w:val="00F5672C"/>
    <w:rsid w:val="00F57737"/>
    <w:rsid w:val="00F63744"/>
    <w:rsid w:val="00F64B94"/>
    <w:rsid w:val="00F73F3D"/>
    <w:rsid w:val="00F77DDA"/>
    <w:rsid w:val="00F806DF"/>
    <w:rsid w:val="00F84E69"/>
    <w:rsid w:val="00FA5219"/>
    <w:rsid w:val="00FB42B3"/>
    <w:rsid w:val="00FE2D87"/>
    <w:rsid w:val="00FE2F4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4E27"/>
  <w15:docId w15:val="{AE392E12-A737-449C-8376-BCC491A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003E9D"/>
    <w:pPr>
      <w:ind w:left="720"/>
      <w:contextualSpacing/>
    </w:pPr>
  </w:style>
  <w:style w:type="character" w:customStyle="1" w:styleId="apple-converted-space">
    <w:name w:val="apple-converted-space"/>
    <w:rsid w:val="00003E9D"/>
  </w:style>
  <w:style w:type="character" w:styleId="Strong">
    <w:name w:val="Strong"/>
    <w:basedOn w:val="DefaultParagraphFont"/>
    <w:uiPriority w:val="22"/>
    <w:qFormat/>
    <w:rsid w:val="00003E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bsibiu.ro/wp-content/uploads/documents/ca/2022/Anexa-2-Componenta-comisiilor-de-selectie-a-mobilitatilor-Erasm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ZqJMMAbhdFHSm4Rv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.ulbsibiu.ro/wp-content/uploads/260123/7_Regulament%20mobilitati%20Erasmus_Senat_ianuarie2023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258-066B-4E27-91AD-88E6C00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EVA-NICOLETA</cp:lastModifiedBy>
  <cp:revision>12</cp:revision>
  <cp:lastPrinted>2020-10-22T10:46:00Z</cp:lastPrinted>
  <dcterms:created xsi:type="dcterms:W3CDTF">2022-03-29T07:51:00Z</dcterms:created>
  <dcterms:modified xsi:type="dcterms:W3CDTF">2023-03-13T11:54:00Z</dcterms:modified>
</cp:coreProperties>
</file>